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C2" w:rsidRDefault="004126C2" w:rsidP="004126C2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A6F25" w:rsidRPr="008A6F25" w:rsidRDefault="008A6F25" w:rsidP="008A6F25">
      <w:pPr>
        <w:spacing w:before="100" w:beforeAutospacing="1" w:after="159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8A6F25">
        <w:rPr>
          <w:rFonts w:ascii="Arial" w:hAnsi="Arial" w:cs="Arial"/>
          <w:b/>
          <w:sz w:val="24"/>
          <w:szCs w:val="24"/>
          <w:lang w:eastAsia="sk-SK"/>
        </w:rPr>
        <w:t>Iniciatíva BB 22</w:t>
      </w:r>
    </w:p>
    <w:p w:rsidR="008A6F25" w:rsidRDefault="008A6F25" w:rsidP="008A6F25">
      <w:pPr>
        <w:spacing w:before="100" w:beforeAutospacing="1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Svet nás neustále stavia do situácií, na ktoré musíme mať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predpripravené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a metodicky zvládnuté odpovede. Sme svedkyňami, svedkami zvyšovania citlivosti verejnosti voči realite. Na druhej strane však narastá počet ľudí, ktorí pred jej komplikovanosťou zatvárajú oči a utiekajú sa k šarlatánom a manipulátorom. </w:t>
      </w:r>
    </w:p>
    <w:p w:rsidR="008A6F25" w:rsidRPr="008A6F25" w:rsidRDefault="008A6F25" w:rsidP="008A6F25">
      <w:pPr>
        <w:spacing w:before="100" w:beforeAutospacing="1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Ruka v ruke s týmto trendom narastá nervozita, neistota a spoločenská skepsa. Miera frustrácie neustále rastie a my, dospelí – rodičia, učiteľky, učitelia, ale aj političky a politici – musíme mať zrozumiteľné a jasné odpovede na otázky našich detí. A naše deti potrebujú priestor, schopnosti a zručnosti, aby svoje otázky dokázali relevantne vysloviť. 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Učiteľky, učitelia, umelkyne, umelci, vedkyne a vedci deň čo deň čelia výzvam doby. Situácie, v ktorých sa nachádzajú, ich nútia odpovede nielen hľadať, ale aj formulovať argumenty, triediť pretlak informácií a premieňať ich na vedomosti.</w:t>
      </w:r>
    </w:p>
    <w:p w:rsid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Je najvyšší čas spojiť sily a skúsenosti z prvej línie a ponúknuť ich inštitúciám, ktoré sú oprávnené nakladať s verejnými zdrojmi a povinné ich čo najlepšie zhodnocovať. Na prvom mieste sú to príslušné rezortné ministerstvá (školstva a kultúry) a kompetentné inštitúcie v ich pôsobnosti. 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Bez širokej medzirezortnej spolupráce to nepôjde. Bez legislatívnych iniciatív, ktorých čiastkovým, no dôležitým cieľom je plnohodnotné zaradenie vzdelávania umením a zážitkového učenia do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kurikulárnej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reformy na všetkých stupňoch vzdelávania takisto nie.</w:t>
      </w:r>
    </w:p>
    <w:p w:rsidR="008A6F25" w:rsidRPr="008A6F25" w:rsidRDefault="008A6F25" w:rsidP="008A6F25">
      <w:pPr>
        <w:spacing w:before="100" w:beforeAutospacing="1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Je najvyšší čas </w:t>
      </w:r>
      <w:r w:rsidRPr="008A6F25">
        <w:rPr>
          <w:rFonts w:ascii="Arial" w:hAnsi="Arial" w:cs="Arial"/>
          <w:b/>
          <w:bCs/>
          <w:sz w:val="22"/>
          <w:szCs w:val="22"/>
          <w:lang w:eastAsia="sk-SK"/>
        </w:rPr>
        <w:t>žiadať vytvorenie platformy pre kvalifikovanú, vecnú a konštruktívnu verejnú debatu o zapojení umeleckého obsahu do vzdelávania</w:t>
      </w:r>
      <w:r w:rsidRPr="008A6F25">
        <w:rPr>
          <w:rFonts w:ascii="Arial" w:hAnsi="Arial" w:cs="Arial"/>
          <w:sz w:val="22"/>
          <w:szCs w:val="22"/>
          <w:lang w:eastAsia="sk-SK"/>
        </w:rPr>
        <w:t>. Aby takáto odborná diskusia priniesla výsledky čo najskôr, je dôležité, aby vznikla zo spoločnej iniciatívy oboch rezortných ministerstiev a pracovala pod záštitou zákonodarných a exekutívnych orgánov a inštitúcií. Tak ako sa to už deje v oblasti vedy, výskumu a športu, tak ako sa to už deje pri zvyšovaní finančnej a environmentálnej gramotnosti.</w:t>
      </w:r>
      <w:r w:rsidRPr="008A6F25">
        <w:rPr>
          <w:rFonts w:ascii="Arial" w:hAnsi="Arial" w:cs="Arial"/>
          <w:i/>
          <w:iCs/>
          <w:sz w:val="22"/>
          <w:szCs w:val="22"/>
          <w:lang w:eastAsia="sk-SK"/>
        </w:rPr>
        <w:t xml:space="preserve"> </w:t>
      </w:r>
    </w:p>
    <w:p w:rsidR="008A6F25" w:rsidRPr="008A6F25" w:rsidRDefault="008A6F25" w:rsidP="008A6F25">
      <w:pPr>
        <w:spacing w:before="100" w:beforeAutospacing="1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i/>
          <w:iCs/>
          <w:sz w:val="22"/>
          <w:szCs w:val="22"/>
          <w:lang w:eastAsia="sk-SK"/>
        </w:rPr>
        <w:t>23. ročník medzinárodného festivalu súčasného bábkového divadla Bábkarská Bystrica 2022 otvoril diskusiu o využití potenciálu divadla a umenia vo vzdelávaní (v učebných osnovách) na základe dobrých príkladov z európskych krajín a upozornil na nevyužitú kapacitu spolupráce kultúrnych a divadelných inštitúcií so školami. Zdôraznil význam umenia, vzdelanosti a kultúrnej gramotnosti pri riešení životných situácií, spoločenských</w:t>
      </w:r>
      <w:r>
        <w:rPr>
          <w:rFonts w:ascii="Arial" w:hAnsi="Arial" w:cs="Arial"/>
          <w:i/>
          <w:iCs/>
          <w:sz w:val="22"/>
          <w:szCs w:val="22"/>
          <w:lang w:eastAsia="sk-SK"/>
        </w:rPr>
        <w:t xml:space="preserve"> kríz, vojen akéhokoľvek druhu -</w:t>
      </w:r>
      <w:r w:rsidRPr="008A6F25">
        <w:rPr>
          <w:rFonts w:ascii="Arial" w:hAnsi="Arial" w:cs="Arial"/>
          <w:i/>
          <w:iCs/>
          <w:sz w:val="22"/>
          <w:szCs w:val="22"/>
          <w:lang w:eastAsia="sk-SK"/>
        </w:rPr>
        <w:t xml:space="preserve"> informačných, konvenčných, hybridných, kultúrnych... </w:t>
      </w:r>
    </w:p>
    <w:p w:rsidR="008A6F25" w:rsidRPr="008A6F25" w:rsidRDefault="008A6F25" w:rsidP="008A6F25">
      <w:pPr>
        <w:spacing w:before="100" w:beforeAutospacing="1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Absenciu takéhoto vzdelávania už cítime v slabej miere záujmu o spoluprácu s divadlami, v médiách a v spoločnosti, kde divadlo vypadlo z centra pozornosti. </w:t>
      </w:r>
    </w:p>
    <w:p w:rsidR="008A6F25" w:rsidRPr="008A6F25" w:rsidRDefault="008A6F25" w:rsidP="008A6F25">
      <w:pPr>
        <w:spacing w:before="100" w:beforeAutospacing="1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Umenie, divadlo a škola sú základnou súčasťou európskej civilizácie a demokracie. Kultúrna gramotnosť rozhoduje o tom, čomu dávame prednosť. Ak sú pre nás rozhodujúce etické a estetické hodnoty, novátorstvo, tvorivé myslenie v každej oblasti života, je potrebné spojiť vzdelávanie s umením, umeleckou výchovou a profesionálnymi kultúrnymi inštitúciami.</w:t>
      </w:r>
    </w:p>
    <w:p w:rsidR="008A6F25" w:rsidRPr="008A6F25" w:rsidRDefault="008A6F25" w:rsidP="008A6F25">
      <w:pPr>
        <w:spacing w:before="100" w:beforeAutospacing="1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Táto iniciatíva sa otvorene stavia k načrtnutým problémom kultúrnej politiky. Je iniciatívou vo verejnom záujme. Kompetentnosť a kvalifikovanosť zástupkýň a zástupcov, ktoré a ktorí ju budú vo verejnej debate reprezentovať, nám dáva právo vyjadrovať sa k zapojeniu kultúrnych aktivít a umenia do procesu vzdelávania.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b/>
          <w:bCs/>
          <w:i/>
          <w:iCs/>
          <w:sz w:val="22"/>
          <w:szCs w:val="22"/>
          <w:lang w:eastAsia="sk-SK"/>
        </w:rPr>
        <w:lastRenderedPageBreak/>
        <w:t xml:space="preserve">Obraciame sa preto k obom rezortným ministrom, k ministerke kultúry, k ministrovi školstva, predsedovi vlády, k parlamentu aj k prezidentke s výzvou na aplikovanie schválených medzinárodných dokumentov, akými sú Frankfurtská deklarácia z roku 2019 a Soulská agenda z roku 2010, do praxe slovenského vzdelávania na všetkých typoch škôl. Žiadame o vytvorenie spoločenskej platformy medzi rezortmi kultúry a školstva, ktorá by zabezpečila aplikáciu princípov Frankfurtskej deklarácie a Soulskej agendy do praxe slovenských škôl a kultúrnych inštitúcií podľa príkladu iných európskych krajín. 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b/>
          <w:bCs/>
          <w:i/>
          <w:iCs/>
          <w:sz w:val="22"/>
          <w:szCs w:val="22"/>
          <w:lang w:eastAsia="sk-SK"/>
        </w:rPr>
        <w:t>Medzinárodné dokumenty vypovedajúce o zapojení živého umenia do vzdelávania nie sú napojené na stranícke a koaličné politiky, nemajú nič spoločné s etnickými, náboženskými či rodovými stereotypmi. Táto téma je príliš dôležitá na to, aby sme hľadali zámienky ako alibisticky povedať, že sme to skúsili, ale nebolo dosť politickej vôle.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Najbližším cieľom Iniciatívy BB22 je mobilizovať odborníčky a odborníkov vo verenej správe, občianskom sektore a predovšetkým vo vrcholových inštitúciách zastrešujúcich kultúru, umenie a vzdelávanie a prizvať ich k účinnej spolupráci.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i/>
          <w:iCs/>
          <w:sz w:val="22"/>
          <w:szCs w:val="22"/>
          <w:lang w:eastAsia="sk-SK"/>
        </w:rPr>
        <w:t>Trvalým a hlavným cieľom iniciatívy umelkýň, umelcov, odborníčok a odborníkov pôsobiacich v subjektoch zaoberajúcich sa tvorivými činnosťami je edukácia, ktorej výsledkom sú kultivovaní, emancipovaní a intelektuálne kompetentní občania hlásiaci sa k princípom humanizmu a demokracie.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b/>
          <w:sz w:val="22"/>
          <w:szCs w:val="22"/>
          <w:lang w:eastAsia="sk-SK"/>
        </w:rPr>
      </w:pPr>
      <w:r w:rsidRPr="008A6F25">
        <w:rPr>
          <w:rFonts w:ascii="Arial" w:hAnsi="Arial" w:cs="Arial"/>
          <w:b/>
          <w:sz w:val="22"/>
          <w:szCs w:val="22"/>
          <w:lang w:eastAsia="sk-SK"/>
        </w:rPr>
        <w:t>Signatárky a signatári iniciatívy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Bábkové Divadlo na Rázcestí, Banská Bystrica 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Akadémia divadelných tvorcov, Bratislava 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Bábkové divadlo Žilina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Bábkové divadlo Košice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Činohra Slovenského národného divadla, Bratislava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Divadlo Jána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Palárika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v Trnave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Dramacentrum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Edudráma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o.z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>.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Katedra bábkarskej tvorby Divadelnej fakulty VŠMU v Bratislave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Klub nezávislých divadiel, Bratislava 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Nové divadlo, Nitra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Odivo</w:t>
      </w:r>
      <w:proofErr w:type="spellEnd"/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Post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Bellum</w:t>
      </w:r>
      <w:proofErr w:type="spellEnd"/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 xml:space="preserve">Združenie tvorivej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dramatiky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Slovenska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lastRenderedPageBreak/>
        <w:t xml:space="preserve">Iniciatívu podporujú aj fínska FIDEA pod vedením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Tintti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Karppinen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a Divadelný ústav v Bratislave ako štátna príspevková organizácia Ministerstva kultúry SR. 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Účastníčky a účastníci konferencie Vzdelávanie divadlom z radov divadelníčok a divadelníkov, pedagogičiek a pedagógov: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Ragnhild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Tronstad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(Nórsko); Špela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Šinigoj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(Slovinsko), Jana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Nechvátalová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Barbora Pokorná,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Zoja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Mikotová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Katarína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Vinařová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(Česko); Silvester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Lavrík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Lucia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Faltinová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Lenka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Dzadíková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Mário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Drgoňa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Ivica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Franeková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Dominika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Zaťková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Dagmar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Inštitorisová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Barbora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Jurinová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Veronika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Kořínková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Wilems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Petra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Fridrichová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Martin Valach, Ivana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Henkeľová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Lucia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Demuth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Denisa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Šebenová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Lucia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Kašiarová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Diana Paulíková, Boris Kováč, Veronika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Burgerová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Zuzana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Mišáková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Moravčíková, Katarína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Krokošová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Adriana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Cieslaková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Ivan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Sogel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Peter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Tabaček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Barbora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Krajč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Zamišková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Marcel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Perecár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Anna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Badinová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Zuzana Chrenková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Srncová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Zuzana Kohútová, Ivica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Ozábalová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Dušana Farkašová, Mária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Šajgalíková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Erik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Šupčík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Marika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Kecskésová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, Sandra </w:t>
      </w:r>
      <w:proofErr w:type="spellStart"/>
      <w:r w:rsidRPr="008A6F25">
        <w:rPr>
          <w:rFonts w:ascii="Arial" w:hAnsi="Arial" w:cs="Arial"/>
          <w:sz w:val="22"/>
          <w:szCs w:val="22"/>
          <w:lang w:eastAsia="sk-SK"/>
        </w:rPr>
        <w:t>Polovková</w:t>
      </w:r>
      <w:proofErr w:type="spellEnd"/>
      <w:r w:rsidRPr="008A6F25">
        <w:rPr>
          <w:rFonts w:ascii="Arial" w:hAnsi="Arial" w:cs="Arial"/>
          <w:sz w:val="22"/>
          <w:szCs w:val="22"/>
          <w:lang w:eastAsia="sk-SK"/>
        </w:rPr>
        <w:t xml:space="preserve">(Slovensko). </w:t>
      </w:r>
    </w:p>
    <w:p w:rsidR="008A6F25" w:rsidRPr="008A6F25" w:rsidRDefault="008A6F25" w:rsidP="008A6F25">
      <w:pPr>
        <w:spacing w:before="100" w:beforeAutospacing="1" w:after="159"/>
        <w:jc w:val="both"/>
        <w:rPr>
          <w:rFonts w:ascii="Arial" w:hAnsi="Arial" w:cs="Arial"/>
          <w:sz w:val="22"/>
          <w:szCs w:val="22"/>
          <w:lang w:eastAsia="sk-SK"/>
        </w:rPr>
      </w:pPr>
      <w:r w:rsidRPr="008A6F25">
        <w:rPr>
          <w:rFonts w:ascii="Arial" w:hAnsi="Arial" w:cs="Arial"/>
          <w:sz w:val="22"/>
          <w:szCs w:val="22"/>
          <w:lang w:eastAsia="sk-SK"/>
        </w:rPr>
        <w:t>K iniciatíve sa pripájajú ďalšie inštitúcie a osobnosti. Zoznam sa bude aktualizovať.</w:t>
      </w:r>
    </w:p>
    <w:p w:rsidR="008A6F25" w:rsidRPr="008A6F25" w:rsidRDefault="008A6F25" w:rsidP="008A6F25">
      <w:pPr>
        <w:spacing w:before="100" w:beforeAutospacing="1" w:after="240"/>
        <w:jc w:val="both"/>
        <w:rPr>
          <w:rFonts w:ascii="Arial" w:hAnsi="Arial" w:cs="Arial"/>
          <w:sz w:val="22"/>
          <w:szCs w:val="22"/>
          <w:lang w:eastAsia="sk-SK"/>
        </w:rPr>
      </w:pPr>
    </w:p>
    <w:p w:rsidR="008A6F25" w:rsidRPr="008A6F25" w:rsidRDefault="008A6F25" w:rsidP="008A6F25">
      <w:pPr>
        <w:pStyle w:val="Bezriadkovani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8A6F25" w:rsidRPr="008A6F25" w:rsidSect="000F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316C"/>
    <w:rsid w:val="00012169"/>
    <w:rsid w:val="000405DA"/>
    <w:rsid w:val="00055F05"/>
    <w:rsid w:val="000A74E3"/>
    <w:rsid w:val="000B7834"/>
    <w:rsid w:val="000F0D37"/>
    <w:rsid w:val="001003B7"/>
    <w:rsid w:val="00120A68"/>
    <w:rsid w:val="00240103"/>
    <w:rsid w:val="00241EE8"/>
    <w:rsid w:val="002F1C84"/>
    <w:rsid w:val="00355ECE"/>
    <w:rsid w:val="004126C2"/>
    <w:rsid w:val="00452DB6"/>
    <w:rsid w:val="004E3DDF"/>
    <w:rsid w:val="004E4B16"/>
    <w:rsid w:val="00554632"/>
    <w:rsid w:val="005A7FDA"/>
    <w:rsid w:val="005D4810"/>
    <w:rsid w:val="006135DC"/>
    <w:rsid w:val="00747DD9"/>
    <w:rsid w:val="0075664A"/>
    <w:rsid w:val="007B2FD3"/>
    <w:rsid w:val="00873908"/>
    <w:rsid w:val="008A6F25"/>
    <w:rsid w:val="008D58F5"/>
    <w:rsid w:val="00907E76"/>
    <w:rsid w:val="0098316C"/>
    <w:rsid w:val="009863A9"/>
    <w:rsid w:val="00996D3E"/>
    <w:rsid w:val="009A64D5"/>
    <w:rsid w:val="009D3B5A"/>
    <w:rsid w:val="00A825C8"/>
    <w:rsid w:val="00C50B28"/>
    <w:rsid w:val="00C76D0A"/>
    <w:rsid w:val="00C85BD2"/>
    <w:rsid w:val="00D44535"/>
    <w:rsid w:val="00DA4A84"/>
    <w:rsid w:val="00E25A58"/>
    <w:rsid w:val="00E4383C"/>
    <w:rsid w:val="00E6462D"/>
    <w:rsid w:val="00EE445C"/>
    <w:rsid w:val="00F21B87"/>
    <w:rsid w:val="00F52D54"/>
    <w:rsid w:val="00F94D17"/>
    <w:rsid w:val="00FB189F"/>
    <w:rsid w:val="00FB7D82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link w:val="Nadpis3Char"/>
    <w:uiPriority w:val="9"/>
    <w:qFormat/>
    <w:rsid w:val="004126C2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A64D5"/>
    <w:rPr>
      <w:color w:val="0000FF"/>
      <w:u w:val="single"/>
    </w:rPr>
  </w:style>
  <w:style w:type="paragraph" w:styleId="Bezriadkovania">
    <w:name w:val="No Spacing"/>
    <w:uiPriority w:val="1"/>
    <w:qFormat/>
    <w:rsid w:val="004E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qFormat/>
    <w:rsid w:val="004E3DD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rse6dlih">
    <w:name w:val="rse6dlih"/>
    <w:basedOn w:val="Predvolenpsmoodseku"/>
    <w:rsid w:val="004E3DDF"/>
  </w:style>
  <w:style w:type="character" w:styleId="Siln">
    <w:name w:val="Strong"/>
    <w:basedOn w:val="Predvolenpsmoodseku"/>
    <w:uiPriority w:val="22"/>
    <w:qFormat/>
    <w:rsid w:val="000B7834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747DD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47DD9"/>
    <w:rPr>
      <w:rFonts w:ascii="Calibri" w:eastAsia="Calibri" w:hAnsi="Calibri" w:cs="Times New Roman"/>
      <w:szCs w:val="21"/>
    </w:rPr>
  </w:style>
  <w:style w:type="character" w:styleId="Zvraznenie">
    <w:name w:val="Emphasis"/>
    <w:basedOn w:val="Predvolenpsmoodseku"/>
    <w:uiPriority w:val="20"/>
    <w:qFormat/>
    <w:rsid w:val="009D3B5A"/>
    <w:rPr>
      <w:i/>
      <w:iCs/>
    </w:rPr>
  </w:style>
  <w:style w:type="paragraph" w:customStyle="1" w:styleId="Normal0">
    <w:name w:val="Normal0"/>
    <w:rsid w:val="009D3B5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4126C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lock-inner">
    <w:name w:val="block-inner"/>
    <w:basedOn w:val="Predvolenpsmoodseku"/>
    <w:rsid w:val="00412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042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192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558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02187">
                                          <w:marLeft w:val="22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2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934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837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dotted" w:sz="6" w:space="4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3547">
                                          <w:marLeft w:val="6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2022-10-18T13:10:00Z</dcterms:created>
  <dcterms:modified xsi:type="dcterms:W3CDTF">2022-10-18T13:10:00Z</dcterms:modified>
</cp:coreProperties>
</file>